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677" w:lineRule="exact" w:before="0"/>
        <w:ind w:left="492" w:right="0" w:firstLine="0"/>
        <w:jc w:val="left"/>
        <w:rPr>
          <w:rFonts w:ascii="方正大标宋简体" w:eastAsia="方正大标宋简体" w:hint="eastAsia"/>
          <w:sz w:val="44"/>
        </w:rPr>
      </w:pPr>
      <w:r>
        <w:rPr>
          <w:rFonts w:ascii="Times New Roman" w:eastAsia="Times New Roman"/>
          <w:w w:val="90"/>
          <w:sz w:val="44"/>
        </w:rPr>
        <w:t>2020 </w:t>
      </w:r>
      <w:r>
        <w:rPr>
          <w:rFonts w:ascii="方正大标宋简体" w:eastAsia="方正大标宋简体" w:hint="eastAsia"/>
          <w:w w:val="90"/>
          <w:sz w:val="44"/>
        </w:rPr>
        <w:t>年普通专升本《机械设计基础》考试大纲</w:t>
      </w:r>
    </w:p>
    <w:p>
      <w:pPr>
        <w:pStyle w:val="BodyText"/>
        <w:spacing w:before="10"/>
        <w:ind w:left="0"/>
        <w:rPr>
          <w:rFonts w:ascii="方正大标宋简体"/>
          <w:sz w:val="43"/>
        </w:rPr>
      </w:pPr>
    </w:p>
    <w:p>
      <w:pPr>
        <w:pStyle w:val="BodyText"/>
        <w:spacing w:line="316" w:lineRule="auto" w:before="0"/>
        <w:ind w:left="101" w:right="276" w:firstLine="638"/>
        <w:jc w:val="both"/>
      </w:pPr>
      <w:r>
        <w:rPr>
          <w:spacing w:val="4"/>
          <w:w w:val="95"/>
        </w:rPr>
        <w:t>本考试的目的是选拔部分高职高专毕业生进入本校机械设 计制造及其自动化专业本科阶段学习。考查学生掌握设计机械 必须的基本知识、基本理论和基本技能，初步确定机构运动方 </w:t>
      </w:r>
      <w:r>
        <w:rPr/>
        <w:t>案、设计机构及设计典型机械传动装置和简单机械的能力。</w:t>
      </w:r>
    </w:p>
    <w:p>
      <w:pPr>
        <w:pStyle w:val="BodyText"/>
        <w:spacing w:line="316" w:lineRule="auto" w:before="0"/>
        <w:ind w:right="2983"/>
        <w:rPr>
          <w:rFonts w:ascii="黑体" w:eastAsia="黑体" w:hint="eastAsia"/>
        </w:rPr>
      </w:pPr>
      <w:r>
        <w:rPr>
          <w:rFonts w:ascii="黑体" w:eastAsia="黑体" w:hint="eastAsia"/>
        </w:rPr>
        <w:t>一、考试科目名称：《机械设计基础》二、考试方式：笔试、闭卷</w:t>
      </w:r>
    </w:p>
    <w:p>
      <w:pPr>
        <w:pStyle w:val="BodyText"/>
        <w:spacing w:line="408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三、考试时间：</w:t>
      </w:r>
      <w:r>
        <w:rPr>
          <w:rFonts w:ascii="Times New Roman" w:eastAsia="Times New Roman"/>
        </w:rPr>
        <w:t>90 </w:t>
      </w:r>
      <w:r>
        <w:rPr>
          <w:rFonts w:ascii="黑体" w:eastAsia="黑体" w:hint="eastAsia"/>
        </w:rPr>
        <w:t>分钟</w:t>
      </w:r>
    </w:p>
    <w:p>
      <w:pPr>
        <w:pStyle w:val="BodyText"/>
        <w:spacing w:before="126"/>
        <w:rPr>
          <w:rFonts w:ascii="黑体" w:eastAsia="黑体" w:hint="eastAsia"/>
        </w:rPr>
      </w:pPr>
      <w:r>
        <w:rPr>
          <w:rFonts w:ascii="黑体" w:eastAsia="黑体" w:hint="eastAsia"/>
        </w:rPr>
        <w:t>四、试卷结构：总分 </w:t>
      </w:r>
      <w:r>
        <w:rPr>
          <w:rFonts w:ascii="Times New Roman" w:eastAsia="Times New Roman"/>
        </w:rPr>
        <w:t>100 </w:t>
      </w:r>
      <w:r>
        <w:rPr>
          <w:rFonts w:ascii="黑体" w:eastAsia="黑体" w:hint="eastAsia"/>
        </w:rPr>
        <w:t>分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（一）单项选择题（共 </w:t>
      </w:r>
      <w:r>
        <w:rPr>
          <w:rFonts w:ascii="Times New Roman" w:eastAsia="Times New Roman"/>
        </w:rPr>
        <w:t>30 </w:t>
      </w:r>
      <w:r>
        <w:rPr>
          <w:rFonts w:ascii="楷体_GB2312" w:eastAsia="楷体_GB2312" w:hint="eastAsia"/>
        </w:rPr>
        <w:t>分）</w:t>
      </w:r>
    </w:p>
    <w:p>
      <w:pPr>
        <w:pStyle w:val="BodyText"/>
      </w:pPr>
      <w:r>
        <w:rPr/>
        <w:t>共 </w:t>
      </w:r>
      <w:r>
        <w:rPr>
          <w:rFonts w:ascii="Times New Roman" w:eastAsia="Times New Roman"/>
        </w:rPr>
        <w:t>20 </w:t>
      </w:r>
      <w:r>
        <w:rPr/>
        <w:t>小题，每小题 </w:t>
      </w:r>
      <w:r>
        <w:rPr>
          <w:rFonts w:ascii="Times New Roman" w:eastAsia="Times New Roman"/>
        </w:rPr>
        <w:t>1.5 </w:t>
      </w:r>
      <w:r>
        <w:rPr/>
        <w:t>分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（二）判断题（共 </w:t>
      </w:r>
      <w:r>
        <w:rPr>
          <w:rFonts w:ascii="Times New Roman" w:eastAsia="Times New Roman"/>
        </w:rPr>
        <w:t>15 </w:t>
      </w:r>
      <w:r>
        <w:rPr>
          <w:rFonts w:ascii="楷体_GB2312" w:eastAsia="楷体_GB2312" w:hint="eastAsia"/>
        </w:rPr>
        <w:t>分）</w:t>
      </w:r>
    </w:p>
    <w:p>
      <w:pPr>
        <w:pStyle w:val="BodyText"/>
      </w:pPr>
      <w:r>
        <w:rPr/>
        <w:t>共 </w:t>
      </w:r>
      <w:r>
        <w:rPr>
          <w:rFonts w:ascii="Times New Roman" w:eastAsia="Times New Roman"/>
        </w:rPr>
        <w:t>10 </w:t>
      </w:r>
      <w:r>
        <w:rPr/>
        <w:t>小题，每小题 </w:t>
      </w:r>
      <w:r>
        <w:rPr>
          <w:rFonts w:ascii="Times New Roman" w:eastAsia="Times New Roman"/>
        </w:rPr>
        <w:t>1.5 </w:t>
      </w:r>
      <w:r>
        <w:rPr/>
        <w:t>分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（三）简答题（共 </w:t>
      </w:r>
      <w:r>
        <w:rPr>
          <w:rFonts w:ascii="Times New Roman" w:eastAsia="Times New Roman"/>
        </w:rPr>
        <w:t>15 </w:t>
      </w:r>
      <w:r>
        <w:rPr>
          <w:rFonts w:ascii="楷体_GB2312" w:eastAsia="楷体_GB2312" w:hint="eastAsia"/>
        </w:rPr>
        <w:t>分）</w:t>
      </w:r>
    </w:p>
    <w:p>
      <w:pPr>
        <w:pStyle w:val="BodyText"/>
      </w:pPr>
      <w:r>
        <w:rPr/>
        <w:t>共 </w:t>
      </w:r>
      <w:r>
        <w:rPr>
          <w:rFonts w:ascii="Times New Roman" w:eastAsia="Times New Roman"/>
        </w:rPr>
        <w:t>5 </w:t>
      </w:r>
      <w:r>
        <w:rPr/>
        <w:t>小题，每小题 </w:t>
      </w:r>
      <w:r>
        <w:rPr>
          <w:rFonts w:ascii="Times New Roman" w:eastAsia="Times New Roman"/>
        </w:rPr>
        <w:t>3 </w:t>
      </w:r>
      <w:r>
        <w:rPr/>
        <w:t>分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（四）分析作图题（共 </w:t>
      </w:r>
      <w:r>
        <w:rPr>
          <w:rFonts w:ascii="Times New Roman" w:eastAsia="Times New Roman"/>
        </w:rPr>
        <w:t>20 </w:t>
      </w:r>
      <w:r>
        <w:rPr>
          <w:rFonts w:ascii="楷体_GB2312" w:eastAsia="楷体_GB2312" w:hint="eastAsia"/>
        </w:rPr>
        <w:t>分）</w:t>
      </w:r>
    </w:p>
    <w:p>
      <w:pPr>
        <w:pStyle w:val="BodyText"/>
      </w:pPr>
      <w:r>
        <w:rPr/>
        <w:t>共 </w:t>
      </w:r>
      <w:r>
        <w:rPr>
          <w:rFonts w:ascii="Times New Roman" w:eastAsia="Times New Roman"/>
        </w:rPr>
        <w:t>2 </w:t>
      </w:r>
      <w:r>
        <w:rPr/>
        <w:t>小题，每小题 </w:t>
      </w:r>
      <w:r>
        <w:rPr>
          <w:rFonts w:ascii="Times New Roman" w:eastAsia="Times New Roman"/>
        </w:rPr>
        <w:t>10 </w:t>
      </w:r>
      <w:r>
        <w:rPr/>
        <w:t>分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（五）设计计算题（共 </w:t>
      </w:r>
      <w:r>
        <w:rPr>
          <w:rFonts w:ascii="Times New Roman" w:eastAsia="Times New Roman"/>
        </w:rPr>
        <w:t>20 </w:t>
      </w:r>
      <w:r>
        <w:rPr>
          <w:rFonts w:ascii="楷体_GB2312" w:eastAsia="楷体_GB2312" w:hint="eastAsia"/>
        </w:rPr>
        <w:t>分）</w:t>
      </w:r>
    </w:p>
    <w:p>
      <w:pPr>
        <w:pStyle w:val="BodyText"/>
      </w:pPr>
      <w:r>
        <w:rPr/>
        <w:t>共 </w:t>
      </w:r>
      <w:r>
        <w:rPr>
          <w:rFonts w:ascii="Times New Roman" w:eastAsia="Times New Roman"/>
        </w:rPr>
        <w:t>2 </w:t>
      </w:r>
      <w:r>
        <w:rPr/>
        <w:t>小题，每小题 </w:t>
      </w:r>
      <w:r>
        <w:rPr>
          <w:rFonts w:ascii="Times New Roman" w:eastAsia="Times New Roman"/>
        </w:rPr>
        <w:t>10 </w:t>
      </w:r>
      <w:r>
        <w:rPr/>
        <w:t>分</w:t>
      </w: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</w:rPr>
        <w:t>五、参考教材</w:t>
      </w:r>
    </w:p>
    <w:p>
      <w:pPr>
        <w:pStyle w:val="BodyText"/>
        <w:spacing w:line="316" w:lineRule="auto"/>
        <w:ind w:left="101" w:right="115" w:firstLine="638"/>
      </w:pPr>
      <w:r>
        <w:rPr>
          <w:spacing w:val="-6"/>
        </w:rPr>
        <w:t>以高等教育出版社发行的《机械设计基础》第 </w:t>
      </w:r>
      <w:r>
        <w:rPr>
          <w:rFonts w:ascii="Times New Roman" w:eastAsia="Times New Roman"/>
        </w:rPr>
        <w:t>4 </w:t>
      </w:r>
      <w:r>
        <w:rPr>
          <w:spacing w:val="-3"/>
        </w:rPr>
        <w:t>版</w:t>
      </w:r>
      <w:r>
        <w:rPr/>
        <w:t>（主编： </w:t>
      </w:r>
      <w:r>
        <w:rPr>
          <w:spacing w:val="6"/>
        </w:rPr>
        <w:t>陈立德</w:t>
      </w:r>
      <w:r>
        <w:rPr>
          <w:spacing w:val="7"/>
        </w:rPr>
        <w:t>）</w:t>
      </w:r>
      <w:r>
        <w:rPr>
          <w:spacing w:val="4"/>
        </w:rPr>
        <w:t>教材的内容为主，考核学生掌握书本知识的程度和实际应用能力。</w:t>
      </w:r>
    </w:p>
    <w:p>
      <w:pPr>
        <w:spacing w:after="0" w:line="316" w:lineRule="auto"/>
        <w:sectPr>
          <w:type w:val="continuous"/>
          <w:pgSz w:w="11910" w:h="16840"/>
          <w:pgMar w:top="1460" w:bottom="280" w:left="1600" w:right="1140"/>
        </w:sectPr>
      </w:pPr>
    </w:p>
    <w:p>
      <w:pPr>
        <w:pStyle w:val="BodyText"/>
        <w:spacing w:before="31"/>
        <w:rPr>
          <w:rFonts w:ascii="黑体" w:eastAsia="黑体" w:hint="eastAsia"/>
        </w:rPr>
      </w:pPr>
      <w:r>
        <w:rPr>
          <w:rFonts w:ascii="黑体" w:eastAsia="黑体" w:hint="eastAsia"/>
        </w:rPr>
        <w:t>六、考试范围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（一）机械设计概述</w:t>
      </w:r>
    </w:p>
    <w:p>
      <w:pPr>
        <w:pStyle w:val="BodyText"/>
        <w:spacing w:line="316" w:lineRule="auto"/>
        <w:ind w:left="101" w:right="276" w:firstLine="638"/>
        <w:jc w:val="both"/>
      </w:pPr>
      <w:r>
        <w:rPr>
          <w:spacing w:val="4"/>
          <w:w w:val="95"/>
        </w:rPr>
        <w:t>机械、机构、构件和零件的基本概念；机械设计的基本要 求、内容及步骤；机械零件的失效形式及设计计算准则；机械 </w:t>
      </w:r>
      <w:r>
        <w:rPr/>
        <w:t>设计中的标准化、系列化和通用化。</w:t>
      </w:r>
    </w:p>
    <w:p>
      <w:pPr>
        <w:pStyle w:val="BodyText"/>
        <w:spacing w:line="406" w:lineRule="exact" w:before="0"/>
        <w:rPr>
          <w:rFonts w:ascii="楷体_GB2312" w:eastAsia="楷体_GB2312" w:hint="eastAsia"/>
        </w:rPr>
      </w:pPr>
      <w:r>
        <w:rPr>
          <w:rFonts w:ascii="楷体_GB2312" w:eastAsia="楷体_GB2312" w:hint="eastAsia"/>
          <w:w w:val="95"/>
        </w:rPr>
        <w:t>（二）平面机构、平面连杆机构</w:t>
      </w:r>
    </w:p>
    <w:p>
      <w:pPr>
        <w:pStyle w:val="BodyText"/>
      </w:pPr>
      <w:r>
        <w:rPr/>
        <w:t>运动副及其分类；平面机构的运动简图；平面机构的自由</w:t>
      </w:r>
    </w:p>
    <w:p>
      <w:pPr>
        <w:pStyle w:val="BodyText"/>
        <w:ind w:left="101"/>
      </w:pPr>
      <w:r>
        <w:rPr/>
        <w:t>度。</w:t>
      </w:r>
    </w:p>
    <w:p>
      <w:pPr>
        <w:pStyle w:val="BodyText"/>
      </w:pPr>
      <w:r>
        <w:rPr/>
        <w:t>平面四杆机构的基本类型及其应用；平面四杆机构的基本</w:t>
      </w:r>
    </w:p>
    <w:p>
      <w:pPr>
        <w:pStyle w:val="BodyText"/>
        <w:ind w:left="101"/>
      </w:pPr>
      <w:r>
        <w:rPr/>
        <w:t>特性；平面四杆机构的设计。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（三）凸轮机构</w:t>
      </w:r>
    </w:p>
    <w:p>
      <w:pPr>
        <w:pStyle w:val="BodyText"/>
        <w:spacing w:line="316" w:lineRule="auto"/>
        <w:ind w:left="101" w:right="276" w:firstLine="638"/>
      </w:pPr>
      <w:r>
        <w:rPr>
          <w:spacing w:val="4"/>
          <w:w w:val="95"/>
        </w:rPr>
        <w:t>凸轮机构的应用和分类；从动件常用运动规律；凸轮机构 </w:t>
      </w:r>
      <w:r>
        <w:rPr>
          <w:spacing w:val="4"/>
        </w:rPr>
        <w:t>的压力角；用图解法设计凸轮轮廓曲线。</w:t>
      </w:r>
    </w:p>
    <w:p>
      <w:pPr>
        <w:pStyle w:val="BodyText"/>
        <w:spacing w:line="408" w:lineRule="exact" w:before="0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（四）螺纹连接与螺旋传动</w:t>
      </w:r>
    </w:p>
    <w:p>
      <w:pPr>
        <w:pStyle w:val="BodyText"/>
        <w:spacing w:line="316" w:lineRule="auto"/>
        <w:ind w:left="101" w:right="72" w:firstLine="638"/>
      </w:pPr>
      <w:r>
        <w:rPr/>
        <w:t>螺纹参数；螺纹连接的基本类型及螺纹紧固件；螺纹连接的预紧和防松；螺纹连接的强度计算；螺栓的材料和许用应力； 螺旋传的类型及应用；螺旋传动的强度计算。</w:t>
      </w:r>
    </w:p>
    <w:p>
      <w:pPr>
        <w:pStyle w:val="BodyText"/>
        <w:spacing w:line="406" w:lineRule="exact" w:before="0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（五）带传动、链传动</w:t>
      </w:r>
    </w:p>
    <w:p>
      <w:pPr>
        <w:pStyle w:val="BodyText"/>
        <w:spacing w:line="316" w:lineRule="auto"/>
        <w:ind w:left="101" w:right="276" w:firstLine="638"/>
      </w:pPr>
      <w:r>
        <w:rPr/>
        <w:t>带传动的受力分析； </w:t>
      </w:r>
      <w:r>
        <w:rPr>
          <w:rFonts w:ascii="Times New Roman" w:eastAsia="Times New Roman"/>
        </w:rPr>
        <w:t>V </w:t>
      </w:r>
      <w:r>
        <w:rPr/>
        <w:t>带传动的计算；</w:t>
      </w:r>
      <w:r>
        <w:rPr>
          <w:rFonts w:ascii="Times New Roman" w:eastAsia="Times New Roman"/>
        </w:rPr>
        <w:t>V </w:t>
      </w:r>
      <w:r>
        <w:rPr/>
        <w:t>带轮的结构；</w:t>
      </w:r>
      <w:r>
        <w:rPr>
          <w:rFonts w:ascii="Times New Roman" w:eastAsia="Times New Roman"/>
        </w:rPr>
        <w:t>V </w:t>
      </w:r>
      <w:r>
        <w:rPr/>
        <w:t>带传动的装紧、安装及维护。</w:t>
      </w:r>
    </w:p>
    <w:p>
      <w:pPr>
        <w:pStyle w:val="BodyText"/>
        <w:spacing w:line="316" w:lineRule="auto" w:before="0"/>
        <w:ind w:left="101" w:right="276" w:firstLine="638"/>
      </w:pPr>
      <w:r>
        <w:rPr>
          <w:spacing w:val="4"/>
          <w:w w:val="95"/>
        </w:rPr>
        <w:t>链传动的特点及应用；链传动的运动分析和受力分析；链 </w:t>
      </w:r>
      <w:r>
        <w:rPr>
          <w:spacing w:val="4"/>
        </w:rPr>
        <w:t>传动的主要参数及其选择；滚子链传动的计算。</w:t>
      </w:r>
    </w:p>
    <w:p>
      <w:pPr>
        <w:pStyle w:val="BodyText"/>
        <w:spacing w:line="408" w:lineRule="exact" w:before="0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（六）齿轮传动、蜗杆传动</w:t>
      </w:r>
    </w:p>
    <w:p>
      <w:pPr>
        <w:pStyle w:val="BodyText"/>
        <w:spacing w:line="316" w:lineRule="auto" w:before="127"/>
        <w:ind w:left="101" w:right="115" w:firstLine="720"/>
      </w:pPr>
      <w:r>
        <w:rPr>
          <w:spacing w:val="-10"/>
          <w:w w:val="95"/>
        </w:rPr>
        <w:t>渐开线齿廓；渐开线标准齿轮的啮合；平行轴斜齿轮传动； </w:t>
      </w:r>
      <w:r>
        <w:rPr>
          <w:spacing w:val="4"/>
        </w:rPr>
        <w:t>锥齿轮传动。齿轮传动的失效形式；齿轮材料及热处理；直齿</w:t>
      </w:r>
    </w:p>
    <w:p>
      <w:pPr>
        <w:spacing w:after="0" w:line="316" w:lineRule="auto"/>
        <w:sectPr>
          <w:pgSz w:w="11910" w:h="16840"/>
          <w:pgMar w:top="1480" w:bottom="280" w:left="1600" w:right="1140"/>
        </w:sectPr>
      </w:pPr>
    </w:p>
    <w:p>
      <w:pPr>
        <w:pStyle w:val="BodyText"/>
        <w:spacing w:line="316" w:lineRule="auto" w:before="31"/>
        <w:ind w:left="101" w:right="276"/>
        <w:jc w:val="both"/>
      </w:pPr>
      <w:r>
        <w:rPr>
          <w:w w:val="95"/>
        </w:rPr>
        <w:t>圆柱齿轮传动的作用力及计算载荷；直齿圆柱齿轮传动的齿面 接触疲劳强度计算；直齿圆柱齿轮传动的齿根弯曲疲劳强度计 算；斜齿圆柱齿轮传动；直齿锥齿轮传动；齿轮的构造；齿轮 </w:t>
      </w:r>
      <w:r>
        <w:rPr/>
        <w:t>传动的润滑和效率。</w:t>
      </w:r>
    </w:p>
    <w:p>
      <w:pPr>
        <w:pStyle w:val="BodyText"/>
        <w:spacing w:line="316" w:lineRule="auto" w:before="0"/>
        <w:ind w:left="101" w:right="276" w:firstLine="638"/>
        <w:jc w:val="both"/>
      </w:pPr>
      <w:r>
        <w:rPr>
          <w:spacing w:val="4"/>
          <w:w w:val="95"/>
        </w:rPr>
        <w:t>蜗杆传动的主要参数和几何尺寸；蜗杆传动的失效形式、 材料和结构；圆柱蜗杆传动的受力分析；圆柱蜗杆传动的强度 </w:t>
      </w:r>
      <w:r>
        <w:rPr/>
        <w:t>计算；杆传动的效率、润滑和热平衡计算。</w:t>
      </w:r>
    </w:p>
    <w:p>
      <w:pPr>
        <w:pStyle w:val="BodyText"/>
        <w:spacing w:line="406" w:lineRule="exact" w:before="0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（七）齿轮系</w:t>
      </w:r>
    </w:p>
    <w:p>
      <w:pPr>
        <w:pStyle w:val="BodyText"/>
        <w:spacing w:line="316" w:lineRule="auto" w:before="125"/>
        <w:ind w:left="101" w:right="73" w:firstLine="638"/>
      </w:pPr>
      <w:r>
        <w:rPr/>
        <w:t>轮系的类型；定轴轮系及其传动比；周转轮系及其传动比； 复合轮系及其传动比。</w:t>
      </w:r>
    </w:p>
    <w:p>
      <w:pPr>
        <w:pStyle w:val="BodyText"/>
        <w:spacing w:line="408" w:lineRule="exact" w:before="0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（八）轴、轴承</w:t>
      </w:r>
    </w:p>
    <w:p>
      <w:pPr>
        <w:pStyle w:val="BodyText"/>
        <w:spacing w:line="316" w:lineRule="auto"/>
        <w:ind w:left="101" w:right="73" w:firstLine="638"/>
      </w:pPr>
      <w:r>
        <w:rPr/>
        <w:t>轴的材料；轴的结构设计；轴的强度计算；轴的刚度计算。键连接和花键连接；销连接。</w:t>
      </w:r>
    </w:p>
    <w:p>
      <w:pPr>
        <w:pStyle w:val="BodyText"/>
        <w:spacing w:line="316" w:lineRule="auto" w:before="0"/>
        <w:ind w:left="101" w:right="276" w:firstLine="638"/>
      </w:pPr>
      <w:r>
        <w:rPr>
          <w:spacing w:val="4"/>
          <w:w w:val="95"/>
        </w:rPr>
        <w:t>滚动轴承的基本类型和特点；滚动轴承的代号；滚动轴承 </w:t>
      </w:r>
      <w:r>
        <w:rPr>
          <w:spacing w:val="4"/>
        </w:rPr>
        <w:t>的选择计算；滚动轴承的润滑和密封；滚动轴承的组合设计。</w:t>
      </w:r>
    </w:p>
    <w:p>
      <w:pPr>
        <w:pStyle w:val="BodyText"/>
        <w:spacing w:line="408" w:lineRule="exact" w:before="0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（九）联轴器、离合器</w:t>
      </w:r>
    </w:p>
    <w:p>
      <w:pPr>
        <w:pStyle w:val="BodyText"/>
        <w:spacing w:before="224"/>
      </w:pPr>
      <w:r>
        <w:rPr/>
        <w:t>联轴器、离合器的功用、类型及应用。</w:t>
      </w:r>
    </w:p>
    <w:sectPr>
      <w:pgSz w:w="11910" w:h="16840"/>
      <w:pgMar w:top="1480" w:bottom="280" w:left="160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仿宋_GB2312">
    <w:altName w:val="仿宋_GB2312"/>
    <w:charset w:val="86"/>
    <w:family w:val="modern"/>
    <w:pitch w:val="fixed"/>
  </w:font>
  <w:font w:name="方正大标宋简体">
    <w:altName w:val="方正大标宋简体"/>
    <w:charset w:val="86"/>
    <w:family w:val="script"/>
    <w:pitch w:val="fixed"/>
  </w:font>
  <w:font w:name="楷体_GB2312">
    <w:altName w:val="楷体_GB2312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_GB2312" w:hAnsi="仿宋_GB2312" w:eastAsia="仿宋_GB2312" w:cs="仿宋_GB2312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30"/>
      <w:ind w:left="74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2020-06-23T10:58:26Z</dcterms:created>
  <dcterms:modified xsi:type="dcterms:W3CDTF">2020-06-23T10:58:26Z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</Properties>
</file>